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7039813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207" cy="638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50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613-т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51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50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Об установлении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акционерному обществу «Ямалкоммунэнерго»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(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филиал акционерного общества «Ямалкоммунэнерго»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в Ямальском районе)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тарифов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на питьевую воду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для расчетов с потребителями села Салемал, села Яр-Сале,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села Панаевск, села Сеяха, села Новый Порт, села Мыс Каменный муниципального округа Ямальский район Ямало-Ненецкого автономного округа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и долгосрочных параметров регулирования тарифов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на 2024 –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2029 годы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В соответствии с Федеральным законом от 07 декабря 2011 года                                  № 416-ФЗ «О водоснабжении и водоотведении»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, 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br/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в сфере водоснабжения и водоотведения», </w:t>
      </w:r>
      <w:hyperlink r:id="rId11" w:tooltip="consultantplus://offline/ref=21FAF34727E4E93BD845608C84F88EE5A2D220B235018A31618DB5B4205409AF2C61E" w:history="1">
        <w:r>
          <w:rPr>
            <w:rFonts w:ascii="Liberation Sans" w:hAnsi="Liberation Sans" w:eastAsia="Liberation Serif" w:cs="Liberation Sans"/>
            <w:bCs/>
            <w:color w:val="000000" w:themeColor="text1"/>
            <w:sz w:val="28"/>
            <w:szCs w:val="28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Ямало-Ненецкого автономного округа от 01 декабря 2014 года № 107-ЗАО «Об установлении отдельных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падающих доходов организациям коммунального комплекса»,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Ямало-Ненецкого автоном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ного округа», </w:t>
      </w:r>
      <w:r>
        <w:rPr>
          <w:rFonts w:ascii="Liberation Sans" w:hAnsi="Liberation Sans" w:eastAsia="Liberation Serif" w:cs="Liberation Sans"/>
          <w:b/>
          <w:color w:val="000000" w:themeColor="text1"/>
          <w:sz w:val="28"/>
          <w:szCs w:val="28"/>
        </w:rPr>
        <w:t xml:space="preserve">п р и к а з ы в а ю:</w:t>
      </w:r>
      <w:r>
        <w:rPr>
          <w:rFonts w:ascii="Liberation Sans" w:hAnsi="Liberation Sans" w:cs="Liberation Sans"/>
        </w:rPr>
      </w:r>
      <w:r/>
    </w:p>
    <w:p>
      <w:pPr>
        <w:ind w:firstLine="708"/>
        <w:jc w:val="both"/>
        <w:rPr>
          <w:rFonts w:ascii="Liberation Sans" w:hAnsi="Liberation Sans" w:cs="Liberation Sans"/>
          <w:b/>
          <w:bCs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708"/>
        <w:jc w:val="both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1. Установить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акционерному обществу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(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филиал акционерного общества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в Ямальском районе):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</w:r>
      <w:r/>
    </w:p>
    <w:p>
      <w:pPr>
        <w:ind w:left="0" w:right="0" w:firstLine="708"/>
        <w:jc w:val="both"/>
        <w:spacing w:before="0" w:after="0"/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1.1.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 тарифы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на питьевую воду для расчетов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с потребителями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села Салемал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муниципального округа Ямальский район 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2029 годы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 согласно приложению № 1;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</w:r>
      <w:r/>
    </w:p>
    <w:p>
      <w:pPr>
        <w:ind w:left="0" w:right="0" w:firstLine="708"/>
        <w:jc w:val="both"/>
        <w:spacing w:before="0" w:after="0"/>
        <w:rPr>
          <w:rFonts w:ascii="Liberation Sans" w:hAnsi="Liberation Sans" w:eastAsia="Times New Roman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1.2.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тарифы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на питьевую воду для расчетов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с потребителями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села Яр-Сале,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села Панаевск, села Сеяха, села Новый Порт, села Мыс Каменный муниципального округа Ямальский район 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2029 годы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 согласно приложению № 2.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</w:r>
      <w:r/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2.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Установить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акционерному обществу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(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филиал акционерного общества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в Ямальском районе)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долгосрочные </w:t>
      </w:r>
      <w:hyperlink r:id="rId12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регулирования тарифов,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определяемые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на долгосрочный период регули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рования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 при установлении</w:t>
      </w:r>
      <w:r>
        <w:rPr>
          <w:rFonts w:ascii="Liberation Sans" w:hAnsi="Liberation Sans" w:eastAsia="Liberation Serif" w:cs="Liberation Sans"/>
          <w:b w:val="0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тарифов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с использованием метода индексации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на 2024 - 2029 годы согласно приложению № 3</w:t>
      </w:r>
      <w:r>
        <w:rPr>
          <w:rFonts w:ascii="Liberation Sans" w:hAnsi="Liberation Sans" w:cs="Liberation Sans"/>
        </w:rPr>
        <w:t xml:space="preserve">.</w:t>
      </w:r>
      <w:r/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3. </w:t>
      </w:r>
      <w:hyperlink r:id="rId13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, установленные в пункте 1 настоящего приказа, действуют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с 01 января 2024 года по 31 декабря 2029 года.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4. Долгосрочные </w:t>
      </w:r>
      <w:hyperlink r:id="rId14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регулирования тарифов, установленные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в пункте 2 настоящего приказа, действуют с 01 января 2024 года по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31 декабря 2029 года.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bCs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bCs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709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Д.Н. Афанасьев</w:t>
      </w:r>
      <w:r>
        <w:rPr>
          <w:rFonts w:ascii="Liberation Sans" w:hAnsi="Liberation Sans" w:cs="Liberation Sans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Приложение № 1</w:t>
      </w:r>
      <w:r>
        <w:rPr>
          <w:rFonts w:ascii="Liberation Sans" w:hAnsi="Liberation Sans" w:cs="Liberation Sans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к приказу департамента тарифной политики, энергетики и жилищно-комм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унального комплекса</w:t>
      </w:r>
      <w:r>
        <w:rPr>
          <w:rFonts w:ascii="Liberation Sans" w:hAnsi="Liberation Sans" w:cs="Liberation Sans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613-т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6"/>
        </w:rPr>
      </w:r>
      <w:r/>
    </w:p>
    <w:p>
      <w:pPr>
        <w:rPr>
          <w:rFonts w:ascii="Liberation Sans" w:hAnsi="Liberation Sans" w:cs="Liberation Sans"/>
          <w:color w:val="000000" w:themeColor="text1"/>
        </w:rPr>
        <w:outlineLvl w:val="0"/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b w:val="0"/>
          <w:bCs w:val="0"/>
          <w:color w:val="000000"/>
          <w:sz w:val="24"/>
          <w:szCs w:val="24"/>
        </w:rPr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Тарифы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на питьевую воду,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установленные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акционерному обществу «Ямалкоммунэнерго» </w:t>
      </w:r>
      <w:r>
        <w:rPr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(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филиал акционерного общества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в Ямальском районе)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для расчетов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 потребителями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села Салемал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муниципального округа Ямальский район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2029 годы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rPr>
          <w:rFonts w:ascii="Liberation Sans" w:hAnsi="Liberation Sans" w:cs="Liberation Sans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jc w:val="right"/>
        <w:rPr>
          <w:rFonts w:ascii="Liberation Sans" w:hAnsi="Liberation Sans" w:cs="Liberation Sans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  <w:r/>
    </w:p>
    <w:p>
      <w:pPr>
        <w:jc w:val="right"/>
        <w:rPr>
          <w:rFonts w:ascii="Liberation Sans" w:hAnsi="Liberation Sans" w:cs="Liberation Sans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  <w:t xml:space="preserve">Таблица 1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оплачивающие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br/>
              <w:t xml:space="preserve">услуги систем водоснабжения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 на питьевую воду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563,03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578,84</w:t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578,84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578,84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578,84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578,84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578,84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578,84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578,84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578,84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578,84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578,84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hyperlink r:id="rId15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52,83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57,05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31.12.2027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16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17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63,39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68,46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30.06.2025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</w:tbl>
    <w:p>
      <w:pPr>
        <w:ind w:firstLine="540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Потребители, имеющие право на льготные тарифы в сфере водоснабжения, указанные в пунктах 2 - 4</w:t>
      </w:r>
      <w:hyperlink r:id="rId18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&lt;**&gt; Потребители, имеющие право на льготные тарифы в сфере водоснабжения, указанные в </w:t>
      </w:r>
      <w:hyperlink r:id="rId19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пункте 1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ию выпадающих доходов организациям коммунального комплекса». 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20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     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Льготные тарифы на холодную воду также применяются в качестве компонентов для расчета тарифов на горячую воду в закрытых системах горячего водоснабжения.</w:t>
      </w:r>
      <w:r>
        <w:rPr>
          <w:rFonts w:ascii="Liberation Sans" w:hAnsi="Liberation Sans" w:cs="Liberation Sans"/>
        </w:rPr>
      </w:r>
      <w:r/>
    </w:p>
    <w:p>
      <w:pPr>
        <w:ind w:left="0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p>
      <w:pPr>
        <w:ind w:left="0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p>
      <w:pPr>
        <w:ind w:left="0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206"/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206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Приложение № 2</w:t>
      </w:r>
      <w:r>
        <w:rPr>
          <w:rFonts w:ascii="Liberation Sans" w:hAnsi="Liberation Sans" w:cs="Liberation Sans"/>
          <w:color w:val="000000" w:themeColor="text1"/>
          <w:highlight w:val="none"/>
        </w:rPr>
      </w:r>
      <w:r/>
    </w:p>
    <w:p>
      <w:pPr>
        <w:ind w:left="10206"/>
      </w:pP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206"/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к приказу департамента тарифной политики, энергетики и жилищно-комм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унального комплекса</w:t>
      </w:r>
      <w:r>
        <w:rPr>
          <w:rFonts w:ascii="Liberation Sans" w:hAnsi="Liberation Sans" w:cs="Liberation Sans"/>
          <w:color w:val="000000" w:themeColor="text1"/>
          <w:sz w:val="24"/>
          <w:szCs w:val="28"/>
        </w:rPr>
      </w:r>
      <w:r/>
    </w:p>
    <w:p>
      <w:pPr>
        <w:ind w:left="10206"/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Ямало-Ненецкого автономного округа </w:t>
      </w:r>
      <w:r>
        <w:rPr>
          <w:rFonts w:ascii="Liberation Sans" w:hAnsi="Liberation Sans" w:cs="Liberation Sans"/>
          <w:color w:val="000000" w:themeColor="text1"/>
          <w:sz w:val="24"/>
          <w:szCs w:val="28"/>
        </w:rPr>
      </w:r>
      <w:r/>
    </w:p>
    <w:p>
      <w:pPr>
        <w:ind w:left="10206"/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613-т</w:t>
      </w:r>
      <w:r>
        <w:rPr>
          <w:rFonts w:ascii="Liberation Sans" w:hAnsi="Liberation Sans" w:cs="Liberation Sans"/>
          <w:color w:val="000000" w:themeColor="text1"/>
          <w:sz w:val="24"/>
          <w:szCs w:val="28"/>
        </w:rPr>
      </w:r>
      <w:r/>
    </w:p>
    <w:p>
      <w:pPr>
        <w:outlineLvl w:val="0"/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b w:val="0"/>
          <w:bCs w:val="0"/>
          <w:color w:val="000000"/>
          <w:sz w:val="24"/>
          <w:szCs w:val="24"/>
        </w:rPr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Тарифы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на питьевую воду,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установленные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акционерному обществу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(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филиал акционерного общества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в Ямальском районе)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для расчетов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 потребителями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села Яр-Сале,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села Панаевск, села Сеяха, села Новый Порт, села Мыс Каменный муниципального округа Ямальский район 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2029 годы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  <w:t xml:space="preserve">Таблица 1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оплачивающие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br/>
              <w:t xml:space="preserve">услуги систем водоснабжения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 на питьевую воду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563,03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578,84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578,84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578,84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578,84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578,84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578,84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578,84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578,84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578,84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578,84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578,84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cantSplit/>
          <w:trHeight w:val="5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hyperlink r:id="rId21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58,81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63,51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22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23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70,57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76,21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30.06.2025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</w:tbl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Потребители, имеющие право на льготные тарифы в сфере водоснабжения, указанные в пунктах 2 - 4</w:t>
      </w:r>
      <w:hyperlink r:id="rId24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>
        <w:rPr>
          <w:rFonts w:ascii="Liberation Sans" w:hAnsi="Liberation Sans" w:cs="Liberation Sans"/>
          <w:color w:val="000000" w:themeColor="text1"/>
        </w:rPr>
      </w:r>
      <w:r/>
    </w:p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&lt;**&gt; Потребители, имеющие право на льготные тарифы в сфере водоснабжения, указанные в </w:t>
      </w:r>
      <w:hyperlink r:id="rId25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пункте 1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ию выпадающих доходов организациям коммунального комплекса». </w:t>
      </w:r>
      <w:r>
        <w:rPr>
          <w:rFonts w:ascii="Liberation Sans" w:hAnsi="Liberation Sans" w:cs="Liberation Sans"/>
          <w:color w:val="000000" w:themeColor="text1"/>
        </w:rPr>
      </w:r>
      <w:r/>
    </w:p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26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     </w:t>
      </w:r>
      <w:r>
        <w:rPr>
          <w:rFonts w:ascii="Liberation Sans" w:hAnsi="Liberation Sans" w:cs="Liberation Sans"/>
          <w:color w:val="000000" w:themeColor="text1"/>
        </w:rPr>
      </w:r>
      <w:r/>
    </w:p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Льготные тарифы на холодную воду также применяются в качестве компонентов для расчета тарифов на горячую воду в закрытых системах горячего водоснабжения.</w:t>
      </w:r>
      <w:r>
        <w:rPr>
          <w:rFonts w:ascii="Liberation Sans" w:hAnsi="Liberation Sans" w:cs="Liberation Sans"/>
          <w:color w:val="000000" w:themeColor="text1"/>
        </w:rPr>
      </w:r>
      <w:r/>
    </w:p>
    <w:p>
      <w:pPr>
        <w:ind w:left="0"/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p>
      <w:pPr>
        <w:ind w:left="0"/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Приложение № 2</w:t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к приказу департамента тарифной политики, энергетики и жилищно-коммунального комплекса</w:t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613-т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6"/>
        </w:rPr>
      </w:r>
      <w:r/>
    </w:p>
    <w:p>
      <w:pPr>
        <w:jc w:val="left"/>
        <w:rPr>
          <w:rFonts w:ascii="Liberation Sans" w:hAnsi="Liberation Sans" w:cs="Liberation Sans"/>
          <w:color w:val="000000" w:themeColor="text1"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Д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олгосрочные </w:t>
      </w:r>
      <w:hyperlink r:id="rId27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4"/>
            <w:szCs w:val="24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регулирования тарифов,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определяемые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на долгосрочный период регули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рования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 при установлении</w:t>
      </w:r>
      <w:r>
        <w:rPr>
          <w:rFonts w:ascii="Liberation Sans" w:hAnsi="Liberation Sans" w:eastAsia="Liberation Serif" w:cs="Liberation Sans"/>
          <w:b w:val="0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тарифов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с использованием метода индексации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акционерному обществу «Ямалкоммунэнерго» </w:t>
      </w:r>
      <w:r/>
    </w:p>
    <w:p>
      <w:pPr>
        <w:jc w:val="center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(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филиал акционерного общества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в Ямальском районе)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на 2024 - 2029 годы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jc w:val="right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cs="Liberation Sans"/>
          <w:sz w:val="24"/>
          <w:szCs w:val="24"/>
        </w:rPr>
        <w:t xml:space="preserve">Таблица 1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40" w:type="dxa"/>
          <w:top w:w="75" w:type="dxa"/>
          <w:right w:w="40" w:type="dxa"/>
          <w:bottom w:w="75" w:type="dxa"/>
        </w:tblCellMar>
        <w:tblLook w:val="04A0" w:firstRow="1" w:lastRow="0" w:firstColumn="1" w:lastColumn="0" w:noHBand="0" w:noVBand="1"/>
      </w:tblPr>
      <w:tblGrid>
        <w:gridCol w:w="607"/>
        <w:gridCol w:w="2434"/>
        <w:gridCol w:w="1109"/>
        <w:gridCol w:w="2117"/>
        <w:gridCol w:w="2094"/>
        <w:gridCol w:w="1899"/>
        <w:gridCol w:w="2477"/>
        <w:gridCol w:w="2480"/>
      </w:tblGrid>
      <w:tr>
        <w:trPr>
          <w:cantSplit/>
          <w:trHeight w:val="225"/>
        </w:trPr>
        <w:tc>
          <w:tcPr>
            <w:tcW w:w="60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№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Наименование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регулируемой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Базовый уровень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операционных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расходов,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тыс.руб.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9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Индекс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эффективности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операционных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расходов, %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8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Нормативный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уровень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прибыли, %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2"/>
            <w:tcW w:w="495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Показатели энергосбережения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энергетической эффективности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69"/>
        </w:trPr>
        <w:tc>
          <w:tcPr>
            <w:tcW w:w="60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43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1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1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09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8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уровень потерь воды,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тыс.м3</w:t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удельный расход электрической энергии,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кВт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*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ч/м3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44"/>
        </w:trPr>
        <w:tc>
          <w:tcPr>
            <w:tcW w:w="6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687"/>
        </w:trPr>
        <w:tc>
          <w:tcPr>
            <w:tcW w:w="60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W w:w="243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Акционерное общество «Ямалкоммунэнерго» </w:t>
            </w:r>
            <w:r>
              <w:rPr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(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филиал акционерного общества «Ямалкоммунэнерго»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в Ямальском районе)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lang w:eastAsia="zh-CN"/>
              </w:rPr>
              <w:t xml:space="preserve">165 455,23</w:t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  <w:lang w:eastAsia="zh-CN"/>
              </w:rPr>
              <w:t xml:space="preserve">68,47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1,518</w:t>
            </w:r>
            <w:r/>
          </w:p>
        </w:tc>
      </w:tr>
      <w:tr>
        <w:trPr>
          <w:cantSplit/>
          <w:trHeight w:val="549"/>
        </w:trPr>
        <w:tc>
          <w:tcPr>
            <w:tcW w:w="60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43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lang w:eastAsia="zh-CN"/>
              </w:rPr>
              <w:t xml:space="preserve">68,47</w:t>
            </w:r>
            <w:r>
              <w:rPr>
                <w:rFonts w:ascii="Liberation Sans" w:hAnsi="Liberation Sans" w:cs="Liberation Sans"/>
                <w:b w:val="0"/>
                <w:bCs w:val="0"/>
                <w:color w:val="000000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1,515</w:t>
            </w:r>
            <w:r/>
          </w:p>
        </w:tc>
      </w:tr>
      <w:tr>
        <w:trPr>
          <w:trHeight w:val="549"/>
        </w:trPr>
        <w:tc>
          <w:tcPr>
            <w:tcW w:w="60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/>
              </w:rPr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lang w:eastAsia="zh-CN"/>
              </w:rPr>
              <w:t xml:space="preserve">68,47</w:t>
            </w:r>
            <w:r>
              <w:rPr>
                <w:rFonts w:ascii="Liberation Sans" w:hAnsi="Liberation Sans" w:cs="Liberation Sans"/>
                <w:b w:val="0"/>
                <w:bCs w:val="0"/>
                <w:color w:val="000000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1,511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9"/>
        </w:trPr>
        <w:tc>
          <w:tcPr>
            <w:tcW w:w="60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/>
              </w:rPr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lang w:eastAsia="zh-CN"/>
              </w:rPr>
              <w:t xml:space="preserve">68,47</w:t>
            </w:r>
            <w:r>
              <w:rPr>
                <w:rFonts w:ascii="Liberation Sans" w:hAnsi="Liberation Sans" w:cs="Liberation Sans"/>
                <w:b w:val="0"/>
                <w:bCs w:val="0"/>
                <w:color w:val="000000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1,508</w:t>
            </w:r>
            <w:r/>
          </w:p>
        </w:tc>
      </w:tr>
      <w:tr>
        <w:trPr>
          <w:trHeight w:val="549"/>
        </w:trPr>
        <w:tc>
          <w:tcPr>
            <w:tcW w:w="60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/>
              </w:rPr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lang w:eastAsia="zh-CN"/>
              </w:rPr>
              <w:t xml:space="preserve">68,47</w:t>
            </w:r>
            <w:r>
              <w:rPr>
                <w:rFonts w:ascii="Liberation Sans" w:hAnsi="Liberation Sans" w:cs="Liberation Sans"/>
                <w:b w:val="0"/>
                <w:bCs w:val="0"/>
                <w:color w:val="000000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1,504</w:t>
            </w:r>
            <w:r/>
          </w:p>
        </w:tc>
      </w:tr>
      <w:tr>
        <w:trPr>
          <w:trHeight w:val="549"/>
        </w:trPr>
        <w:tc>
          <w:tcPr>
            <w:tcW w:w="60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Liberation Sans" w:hAnsi="Liberation Sans" w:cs="Liberation Sans"/>
                <w:b w:val="0"/>
                <w:bCs w:val="0"/>
                <w:color w:val="000000"/>
              </w:rPr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lang w:eastAsia="zh-CN"/>
              </w:rPr>
              <w:t xml:space="preserve">68,47</w:t>
            </w:r>
            <w:r>
              <w:rPr>
                <w:rFonts w:ascii="Liberation Sans" w:hAnsi="Liberation Sans" w:cs="Liberation Sans"/>
                <w:b w:val="0"/>
                <w:bCs w:val="0"/>
                <w:color w:val="000000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1,500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pPr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6838" w:h="11906" w:orient="landscape"/>
      <w:pgMar w:top="1276" w:right="1134" w:bottom="567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4">
    <w:name w:val="Heading 1 Char"/>
    <w:basedOn w:val="669"/>
    <w:link w:val="660"/>
    <w:uiPriority w:val="9"/>
    <w:rPr>
      <w:rFonts w:ascii="Arial" w:hAnsi="Arial" w:eastAsia="Arial" w:cs="Arial"/>
      <w:sz w:val="40"/>
      <w:szCs w:val="40"/>
    </w:rPr>
  </w:style>
  <w:style w:type="character" w:styleId="645">
    <w:name w:val="Heading 2 Char"/>
    <w:basedOn w:val="669"/>
    <w:link w:val="661"/>
    <w:uiPriority w:val="9"/>
    <w:rPr>
      <w:rFonts w:ascii="Arial" w:hAnsi="Arial" w:eastAsia="Arial" w:cs="Arial"/>
      <w:sz w:val="34"/>
    </w:rPr>
  </w:style>
  <w:style w:type="character" w:styleId="646">
    <w:name w:val="Heading 3 Char"/>
    <w:basedOn w:val="669"/>
    <w:link w:val="662"/>
    <w:uiPriority w:val="9"/>
    <w:rPr>
      <w:rFonts w:ascii="Arial" w:hAnsi="Arial" w:eastAsia="Arial" w:cs="Arial"/>
      <w:sz w:val="30"/>
      <w:szCs w:val="30"/>
    </w:rPr>
  </w:style>
  <w:style w:type="character" w:styleId="647">
    <w:name w:val="Heading 4 Char"/>
    <w:basedOn w:val="669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48">
    <w:name w:val="Heading 5 Char"/>
    <w:basedOn w:val="669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49">
    <w:name w:val="Heading 6 Char"/>
    <w:basedOn w:val="669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50">
    <w:name w:val="Heading 7 Char"/>
    <w:basedOn w:val="66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8 Char"/>
    <w:basedOn w:val="669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652">
    <w:name w:val="Heading 9 Char"/>
    <w:basedOn w:val="66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character" w:styleId="653">
    <w:name w:val="Title Char"/>
    <w:basedOn w:val="669"/>
    <w:link w:val="683"/>
    <w:uiPriority w:val="10"/>
    <w:rPr>
      <w:sz w:val="48"/>
      <w:szCs w:val="48"/>
    </w:rPr>
  </w:style>
  <w:style w:type="character" w:styleId="654">
    <w:name w:val="Subtitle Char"/>
    <w:basedOn w:val="669"/>
    <w:link w:val="685"/>
    <w:uiPriority w:val="11"/>
    <w:rPr>
      <w:sz w:val="24"/>
      <w:szCs w:val="24"/>
    </w:rPr>
  </w:style>
  <w:style w:type="character" w:styleId="655">
    <w:name w:val="Quote Char"/>
    <w:link w:val="687"/>
    <w:uiPriority w:val="29"/>
    <w:rPr>
      <w:i/>
    </w:rPr>
  </w:style>
  <w:style w:type="character" w:styleId="656">
    <w:name w:val="Intense Quote Char"/>
    <w:link w:val="689"/>
    <w:uiPriority w:val="30"/>
    <w:rPr>
      <w:i/>
    </w:rPr>
  </w:style>
  <w:style w:type="character" w:styleId="657">
    <w:name w:val="Footnote Text Char"/>
    <w:link w:val="824"/>
    <w:uiPriority w:val="99"/>
    <w:rPr>
      <w:sz w:val="18"/>
    </w:rPr>
  </w:style>
  <w:style w:type="character" w:styleId="658">
    <w:name w:val="Endnote Text Char"/>
    <w:link w:val="827"/>
    <w:uiPriority w:val="99"/>
    <w:rPr>
      <w:sz w:val="20"/>
    </w:rPr>
  </w:style>
  <w:style w:type="paragraph" w:styleId="659" w:default="1">
    <w:name w:val="Normal"/>
    <w:qFormat/>
    <w:rPr>
      <w:lang w:eastAsia="zh-CN"/>
    </w:rPr>
  </w:style>
  <w:style w:type="paragraph" w:styleId="660">
    <w:name w:val="Heading 1"/>
    <w:link w:val="67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61">
    <w:name w:val="Heading 2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62">
    <w:name w:val="Heading 3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63">
    <w:name w:val="Heading 4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64">
    <w:name w:val="Heading 5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65">
    <w:name w:val="Heading 6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66">
    <w:name w:val="Heading 7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67">
    <w:name w:val="Heading 8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68">
    <w:name w:val="Heading 9"/>
    <w:link w:val="6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9" w:default="1">
    <w:name w:val="Default Paragraph Font"/>
    <w:uiPriority w:val="1"/>
    <w:semiHidden/>
    <w:unhideWhenUsed/>
  </w:style>
  <w:style w:type="table" w:styleId="6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character" w:styleId="672" w:customStyle="1">
    <w:name w:val="Заголовок 1 Знак"/>
    <w:link w:val="660"/>
    <w:uiPriority w:val="9"/>
    <w:rPr>
      <w:rFonts w:ascii="Arial" w:hAnsi="Arial" w:eastAsia="Arial" w:cs="Arial"/>
      <w:sz w:val="40"/>
      <w:szCs w:val="40"/>
    </w:rPr>
  </w:style>
  <w:style w:type="character" w:styleId="673" w:customStyle="1">
    <w:name w:val="Заголовок 2 Знак"/>
    <w:link w:val="661"/>
    <w:uiPriority w:val="9"/>
    <w:rPr>
      <w:rFonts w:ascii="Arial" w:hAnsi="Arial" w:eastAsia="Arial" w:cs="Arial"/>
      <w:sz w:val="34"/>
    </w:rPr>
  </w:style>
  <w:style w:type="character" w:styleId="674" w:customStyle="1">
    <w:name w:val="Заголовок 3 Знак"/>
    <w:link w:val="662"/>
    <w:uiPriority w:val="9"/>
    <w:rPr>
      <w:rFonts w:ascii="Arial" w:hAnsi="Arial" w:eastAsia="Arial" w:cs="Arial"/>
      <w:sz w:val="30"/>
      <w:szCs w:val="30"/>
    </w:rPr>
  </w:style>
  <w:style w:type="character" w:styleId="675" w:customStyle="1">
    <w:name w:val="Заголовок 4 Знак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76" w:customStyle="1">
    <w:name w:val="Заголовок 5 Знак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77" w:customStyle="1">
    <w:name w:val="Заголовок 6 Знак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78" w:customStyle="1">
    <w:name w:val="Заголовок 7 Знак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9" w:customStyle="1">
    <w:name w:val="Заголовок 8 Знак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680" w:customStyle="1">
    <w:name w:val="Заголовок 9 Знак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81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2">
    <w:name w:val="No Spacing"/>
    <w:uiPriority w:val="1"/>
    <w:qFormat/>
    <w:rPr>
      <w:lang w:eastAsia="zh-CN"/>
    </w:rPr>
  </w:style>
  <w:style w:type="paragraph" w:styleId="683">
    <w:name w:val="Title"/>
    <w:link w:val="684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84" w:customStyle="1">
    <w:name w:val="Заголовок Знак"/>
    <w:link w:val="683"/>
    <w:uiPriority w:val="10"/>
    <w:rPr>
      <w:sz w:val="48"/>
      <w:szCs w:val="48"/>
    </w:rPr>
  </w:style>
  <w:style w:type="paragraph" w:styleId="685">
    <w:name w:val="Subtitle"/>
    <w:link w:val="686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86" w:customStyle="1">
    <w:name w:val="Подзаголовок Знак"/>
    <w:link w:val="685"/>
    <w:uiPriority w:val="11"/>
    <w:rPr>
      <w:sz w:val="24"/>
      <w:szCs w:val="24"/>
    </w:rPr>
  </w:style>
  <w:style w:type="paragraph" w:styleId="687">
    <w:name w:val="Quote"/>
    <w:link w:val="688"/>
    <w:uiPriority w:val="29"/>
    <w:qFormat/>
    <w:pPr>
      <w:ind w:left="720" w:right="720"/>
    </w:pPr>
    <w:rPr>
      <w:i/>
      <w:lang w:eastAsia="zh-CN"/>
    </w:rPr>
  </w:style>
  <w:style w:type="character" w:styleId="688" w:customStyle="1">
    <w:name w:val="Цитата 2 Знак"/>
    <w:link w:val="687"/>
    <w:uiPriority w:val="29"/>
    <w:rPr>
      <w:i/>
    </w:rPr>
  </w:style>
  <w:style w:type="paragraph" w:styleId="689">
    <w:name w:val="Intense Quote"/>
    <w:link w:val="6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90" w:customStyle="1">
    <w:name w:val="Выделенная цитата Знак"/>
    <w:link w:val="689"/>
    <w:uiPriority w:val="30"/>
    <w:rPr>
      <w:i/>
    </w:rPr>
  </w:style>
  <w:style w:type="paragraph" w:styleId="691">
    <w:name w:val="Header"/>
    <w:basedOn w:val="659"/>
    <w:link w:val="847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92" w:customStyle="1">
    <w:name w:val="Header Char"/>
    <w:uiPriority w:val="99"/>
  </w:style>
  <w:style w:type="paragraph" w:styleId="693">
    <w:name w:val="Footer"/>
    <w:basedOn w:val="659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94" w:customStyle="1">
    <w:name w:val="Footer Char"/>
    <w:uiPriority w:val="99"/>
  </w:style>
  <w:style w:type="paragraph" w:styleId="695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96" w:customStyle="1">
    <w:name w:val="Caption Char"/>
    <w:uiPriority w:val="99"/>
  </w:style>
  <w:style w:type="table" w:styleId="697">
    <w:name w:val="Table Grid"/>
    <w:basedOn w:val="670"/>
    <w:tblPr/>
  </w:style>
  <w:style w:type="table" w:styleId="69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3">
    <w:name w:val="Hyperlink"/>
    <w:uiPriority w:val="99"/>
    <w:unhideWhenUsed/>
    <w:rPr>
      <w:color w:val="0000ff"/>
      <w:u w:val="single"/>
    </w:rPr>
  </w:style>
  <w:style w:type="paragraph" w:styleId="824">
    <w:name w:val="footnote text"/>
    <w:link w:val="825"/>
    <w:uiPriority w:val="99"/>
    <w:semiHidden/>
    <w:unhideWhenUsed/>
    <w:pPr>
      <w:spacing w:after="40"/>
    </w:pPr>
    <w:rPr>
      <w:sz w:val="18"/>
      <w:lang w:eastAsia="zh-CN"/>
    </w:rPr>
  </w:style>
  <w:style w:type="character" w:styleId="825" w:customStyle="1">
    <w:name w:val="Текст сноски Знак"/>
    <w:link w:val="824"/>
    <w:uiPriority w:val="99"/>
    <w:rPr>
      <w:sz w:val="18"/>
    </w:rPr>
  </w:style>
  <w:style w:type="character" w:styleId="826">
    <w:name w:val="footnote reference"/>
    <w:uiPriority w:val="99"/>
    <w:unhideWhenUsed/>
    <w:rPr>
      <w:vertAlign w:val="superscript"/>
    </w:rPr>
  </w:style>
  <w:style w:type="paragraph" w:styleId="827">
    <w:name w:val="endnote text"/>
    <w:link w:val="828"/>
    <w:uiPriority w:val="99"/>
    <w:semiHidden/>
    <w:unhideWhenUsed/>
    <w:rPr>
      <w:lang w:eastAsia="zh-CN"/>
    </w:rPr>
  </w:style>
  <w:style w:type="character" w:styleId="828" w:customStyle="1">
    <w:name w:val="Текст концевой сноски Знак"/>
    <w:link w:val="827"/>
    <w:uiPriority w:val="99"/>
    <w:rPr>
      <w:sz w:val="20"/>
    </w:rPr>
  </w:style>
  <w:style w:type="character" w:styleId="829">
    <w:name w:val="endnote reference"/>
    <w:uiPriority w:val="99"/>
    <w:semiHidden/>
    <w:unhideWhenUsed/>
    <w:rPr>
      <w:vertAlign w:val="superscript"/>
    </w:rPr>
  </w:style>
  <w:style w:type="paragraph" w:styleId="830">
    <w:name w:val="toc 1"/>
    <w:uiPriority w:val="39"/>
    <w:unhideWhenUsed/>
    <w:pPr>
      <w:spacing w:after="57"/>
    </w:pPr>
    <w:rPr>
      <w:lang w:eastAsia="zh-CN"/>
    </w:rPr>
  </w:style>
  <w:style w:type="paragraph" w:styleId="831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2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3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4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5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6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37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38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39">
    <w:name w:val="TOC Heading"/>
    <w:uiPriority w:val="39"/>
    <w:unhideWhenUsed/>
    <w:rPr>
      <w:lang w:eastAsia="zh-CN"/>
    </w:rPr>
  </w:style>
  <w:style w:type="paragraph" w:styleId="840">
    <w:name w:val="table of figures"/>
    <w:uiPriority w:val="99"/>
    <w:unhideWhenUsed/>
    <w:rPr>
      <w:lang w:eastAsia="zh-CN"/>
    </w:rPr>
  </w:style>
  <w:style w:type="paragraph" w:styleId="841" w:customStyle="1">
    <w:name w:val="Знак Знак Знак Знак"/>
    <w:basedOn w:val="65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2" w:customStyle="1">
    <w:name w:val="ConsPlusNormal"/>
    <w:pPr>
      <w:ind w:firstLine="720"/>
    </w:pPr>
    <w:rPr>
      <w:rFonts w:ascii="Arial" w:hAnsi="Arial"/>
    </w:rPr>
  </w:style>
  <w:style w:type="paragraph" w:styleId="843" w:customStyle="1">
    <w:name w:val="ConsPlusCell"/>
    <w:pPr>
      <w:widowControl w:val="off"/>
    </w:pPr>
    <w:rPr>
      <w:rFonts w:ascii="Arial" w:hAnsi="Arial"/>
    </w:rPr>
  </w:style>
  <w:style w:type="paragraph" w:styleId="844">
    <w:name w:val="Body Text Indent 2"/>
    <w:basedOn w:val="659"/>
    <w:link w:val="846"/>
    <w:pPr>
      <w:ind w:firstLine="720"/>
      <w:jc w:val="both"/>
    </w:pPr>
    <w:rPr>
      <w:sz w:val="28"/>
      <w:lang w:val="en-US" w:eastAsia="en-US"/>
    </w:rPr>
  </w:style>
  <w:style w:type="paragraph" w:styleId="845" w:customStyle="1">
    <w:name w:val="ConsPlusNonformat"/>
    <w:rPr>
      <w:rFonts w:ascii="Courier New" w:hAnsi="Courier New"/>
    </w:rPr>
  </w:style>
  <w:style w:type="character" w:styleId="846" w:customStyle="1">
    <w:name w:val="Основной текст с отступом 2 Знак"/>
    <w:link w:val="844"/>
    <w:rPr>
      <w:sz w:val="28"/>
      <w:szCs w:val="24"/>
    </w:rPr>
  </w:style>
  <w:style w:type="character" w:styleId="847" w:customStyle="1">
    <w:name w:val="Верхний колонтитул Знак"/>
    <w:link w:val="691"/>
    <w:rPr>
      <w:sz w:val="24"/>
      <w:szCs w:val="24"/>
    </w:rPr>
  </w:style>
  <w:style w:type="character" w:styleId="848" w:customStyle="1">
    <w:name w:val="Нижний колонтитул Знак"/>
    <w:link w:val="693"/>
    <w:rPr>
      <w:sz w:val="24"/>
      <w:szCs w:val="24"/>
    </w:rPr>
  </w:style>
  <w:style w:type="paragraph" w:styleId="849" w:customStyle="1">
    <w:name w:val="ConsPlusTitle"/>
    <w:pPr>
      <w:widowControl w:val="off"/>
    </w:pPr>
    <w:rPr>
      <w:b/>
      <w:bCs/>
      <w:sz w:val="24"/>
      <w:szCs w:val="24"/>
    </w:rPr>
  </w:style>
  <w:style w:type="paragraph" w:styleId="850" w:customStyle="1">
    <w:name w:val="Обычный"/>
    <w:next w:val="829"/>
    <w:link w:val="82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1" w:customStyle="1">
    <w:name w:val="Основной текст с отступом 2"/>
    <w:basedOn w:val="850"/>
    <w:next w:val="837"/>
    <w:link w:val="839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21FAF34727E4E93BD845608C84F88EE5A2D220B235018A31618DB5B4205409AF2C61E" TargetMode="External"/><Relationship Id="rId12" Type="http://schemas.openxmlformats.org/officeDocument/2006/relationships/hyperlink" Target="consultantplus://offline/ref=AB0A23BB009D875F70E278ABA137D1EAE0914661EA7CA7DC4DA00334547CA36DC21A434CDEABBAAE3F967C0F0E7E283638FF83CB8743443A5A96156Dj8w6K" TargetMode="External"/><Relationship Id="rId13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4" Type="http://schemas.openxmlformats.org/officeDocument/2006/relationships/hyperlink" Target="consultantplus://offline/ref=AB0A23BB009D875F70E278ABA137D1EAE0914661EA7CA7DC4DA00334547CA36DC21A434CDEABBAAE3F967C0F0E7E283638FF83CB8743443A5A96156Dj8w6K" TargetMode="External"/><Relationship Id="rId15" Type="http://schemas.openxmlformats.org/officeDocument/2006/relationships/hyperlink" Target="consultantplus://offline/ref=30AE12744AACC646BD4A127E9A00FA26F3F5D77ABA9B9249DE8065AAD0E7560D85AC42817DBE367E208644GEEAF" TargetMode="External"/><Relationship Id="rId16" Type="http://schemas.openxmlformats.org/officeDocument/2006/relationships/hyperlink" Target="consultantplus://offline/ref=E2D39A4F09B56413B3EC0001D0709032262D2B4CB0535EAD3A2383E493BF8F76C45AD369E8E1994C547488p5EDF" TargetMode="External"/><Relationship Id="rId17" Type="http://schemas.openxmlformats.org/officeDocument/2006/relationships/hyperlink" Target="consultantplus://offline/ref=E2D39A4F09B56413B3EC0001D0709032262D2B4CB0535EAD3A2383E493BF8F76C45AD369E8E1994C547488p5ECF" TargetMode="External"/><Relationship Id="rId18" Type="http://schemas.openxmlformats.org/officeDocument/2006/relationships/hyperlink" Target="consultantplus://offline/ref=BC4FDCB53AB2EC8B14B6B3AE8120CF99E618AD28C81A94C69A1C057EC095CEE9BB73B2CF9B88F0D7DA4765HEQ0F" TargetMode="External"/><Relationship Id="rId19" Type="http://schemas.openxmlformats.org/officeDocument/2006/relationships/hyperlink" Target="consultantplus://offline/ref=BC4FDCB53AB2EC8B14B6B3AE8120CF99E618AD28C81A94C69A1C057EC095CEE9BB73B2CF9B88F0D7DA4765HEQFF" TargetMode="External"/><Relationship Id="rId20" Type="http://schemas.openxmlformats.org/officeDocument/2006/relationships/hyperlink" Target="consultantplus://offline/ref=BC4FDCB53AB2EC8B14B6ADA3974C9894E114F221CB1B9993C6435E23979CC4BEFC3CEB8DDF85F5D1HDQDF" TargetMode="External"/><Relationship Id="rId21" Type="http://schemas.openxmlformats.org/officeDocument/2006/relationships/hyperlink" Target="consultantplus://offline/ref=30AE12744AACC646BD4A127E9A00FA26F3F5D77ABA9B9249DE8065AAD0E7560D85AC42817DBE367E208644GEEAF" TargetMode="External"/><Relationship Id="rId22" Type="http://schemas.openxmlformats.org/officeDocument/2006/relationships/hyperlink" Target="consultantplus://offline/ref=E2D39A4F09B56413B3EC0001D0709032262D2B4CB0535EAD3A2383E493BF8F76C45AD369E8E1994C547488p5EDF" TargetMode="External"/><Relationship Id="rId23" Type="http://schemas.openxmlformats.org/officeDocument/2006/relationships/hyperlink" Target="consultantplus://offline/ref=E2D39A4F09B56413B3EC0001D0709032262D2B4CB0535EAD3A2383E493BF8F76C45AD369E8E1994C547488p5ECF" TargetMode="External"/><Relationship Id="rId24" Type="http://schemas.openxmlformats.org/officeDocument/2006/relationships/hyperlink" Target="consultantplus://offline/ref=BC4FDCB53AB2EC8B14B6B3AE8120CF99E618AD28C81A94C69A1C057EC095CEE9BB73B2CF9B88F0D7DA4765HEQ0F" TargetMode="External"/><Relationship Id="rId25" Type="http://schemas.openxmlformats.org/officeDocument/2006/relationships/hyperlink" Target="consultantplus://offline/ref=BC4FDCB53AB2EC8B14B6B3AE8120CF99E618AD28C81A94C69A1C057EC095CEE9BB73B2CF9B88F0D7DA4765HEQFF" TargetMode="External"/><Relationship Id="rId26" Type="http://schemas.openxmlformats.org/officeDocument/2006/relationships/hyperlink" Target="consultantplus://offline/ref=BC4FDCB53AB2EC8B14B6ADA3974C9894E114F221CB1B9993C6435E23979CC4BEFC3CEB8DDF85F5D1HDQDF" TargetMode="External"/><Relationship Id="rId27" Type="http://schemas.openxmlformats.org/officeDocument/2006/relationships/hyperlink" Target="consultantplus://offline/ref=AB0A23BB009D875F70E278ABA137D1EAE0914661EA7CA7DC4DA00334547CA36DC21A434CDEABBAAE3F967C0F0E7E283638FF83CB8743443A5A96156Dj8w6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35</cp:revision>
  <dcterms:created xsi:type="dcterms:W3CDTF">2022-10-31T11:46:00Z</dcterms:created>
  <dcterms:modified xsi:type="dcterms:W3CDTF">2023-12-20T07:18:54Z</dcterms:modified>
</cp:coreProperties>
</file>